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A" w:rsidRDefault="0063600A" w:rsidP="0063600A">
      <w:pPr>
        <w:pStyle w:val="a3"/>
      </w:pPr>
      <w:r>
        <w:rPr>
          <w:rStyle w:val="a4"/>
        </w:rPr>
        <w:t>Меры поддержки для МСП. Перечень антикризисных мер</w:t>
      </w:r>
    </w:p>
    <w:p w:rsidR="0063600A" w:rsidRDefault="0063600A" w:rsidP="0063600A">
      <w:pPr>
        <w:pStyle w:val="a3"/>
      </w:pPr>
      <w:r>
        <w:rPr>
          <w:rStyle w:val="a4"/>
        </w:rPr>
        <w:t>Меры поддержки для МСП</w:t>
      </w:r>
    </w:p>
    <w:p w:rsidR="0063600A" w:rsidRDefault="0063600A" w:rsidP="0063600A">
      <w:pPr>
        <w:pStyle w:val="a3"/>
      </w:pPr>
      <w:r>
        <w:t>Заемщики - субъекты МСП из определенных </w:t>
      </w:r>
      <w:hyperlink r:id="rId5" w:anchor="dst100012" w:history="1">
        <w:r>
          <w:rPr>
            <w:rStyle w:val="a5"/>
          </w:rPr>
          <w:t>отраслей</w:t>
        </w:r>
      </w:hyperlink>
      <w:r>
        <w:t> </w:t>
      </w:r>
      <w:hyperlink r:id="rId6" w:anchor="dst4" w:history="1">
        <w:r>
          <w:rPr>
            <w:rStyle w:val="a5"/>
          </w:rPr>
          <w:t>вправе</w:t>
        </w:r>
      </w:hyperlink>
      <w:r>
        <w:t> до 31 марта 2023 г. включительно обратиться за кредитными каникулами по договорам кредита (займа), заключенным с финансовыми организациями до 1 марта 2022 г.</w:t>
      </w:r>
    </w:p>
    <w:p w:rsidR="0063600A" w:rsidRDefault="0063600A" w:rsidP="0063600A">
      <w:pPr>
        <w:pStyle w:val="a3"/>
      </w:pPr>
      <w:r>
        <w:t>Установлены особенности предоставления в 2022 - 2023 гг. государственной или муниципальной преференции для поддержки субъектов МСП. Так, преференция </w:t>
      </w:r>
      <w:hyperlink r:id="rId7" w:anchor="dst100209" w:history="1">
        <w:r>
          <w:rPr>
            <w:rStyle w:val="a5"/>
          </w:rPr>
          <w:t>предоставляется</w:t>
        </w:r>
      </w:hyperlink>
      <w:r>
        <w:t> без предварительного согласия антимонопольного органа. Но в дальнейшем его нужно уведомить (за исключением некоторых </w:t>
      </w:r>
      <w:hyperlink r:id="rId8" w:anchor="dst80" w:history="1">
        <w:r>
          <w:rPr>
            <w:rStyle w:val="a5"/>
          </w:rPr>
          <w:t>случаев</w:t>
        </w:r>
      </w:hyperlink>
      <w:r>
        <w:t>) в установленный </w:t>
      </w:r>
      <w:hyperlink r:id="rId9" w:anchor="dst100210" w:history="1">
        <w:r>
          <w:rPr>
            <w:rStyle w:val="a5"/>
          </w:rPr>
          <w:t>срок</w:t>
        </w:r>
      </w:hyperlink>
      <w:r>
        <w:t>. К уведомлению необходимо приложить </w:t>
      </w:r>
      <w:hyperlink r:id="rId10" w:anchor="dst100211" w:history="1">
        <w:r>
          <w:rPr>
            <w:rStyle w:val="a5"/>
          </w:rPr>
          <w:t>ряд документов</w:t>
        </w:r>
      </w:hyperlink>
      <w:r>
        <w:t>.</w:t>
      </w:r>
    </w:p>
    <w:p w:rsidR="0063600A" w:rsidRDefault="0063600A" w:rsidP="0063600A">
      <w:pPr>
        <w:pStyle w:val="a3"/>
      </w:pPr>
      <w:r>
        <w:t xml:space="preserve">МСП, </w:t>
      </w:r>
      <w:proofErr w:type="gramStart"/>
      <w:r>
        <w:t>которым</w:t>
      </w:r>
      <w:proofErr w:type="gramEnd"/>
      <w:r>
        <w:t xml:space="preserve"> в 2021 г. выдавался льготный кредит по программе "ФОТ 3.0", могут получить отсрочку по нему. На период отсрочки </w:t>
      </w:r>
      <w:hyperlink r:id="rId11" w:anchor="dst100011" w:history="1">
        <w:r>
          <w:rPr>
            <w:rStyle w:val="a5"/>
          </w:rPr>
          <w:t>откладывается</w:t>
        </w:r>
      </w:hyperlink>
      <w:r>
        <w:t> оплата процентов и основного долга по такому кредиту.</w:t>
      </w:r>
    </w:p>
    <w:p w:rsidR="0063600A" w:rsidRDefault="0063600A" w:rsidP="0063600A">
      <w:pPr>
        <w:pStyle w:val="a3"/>
      </w:pPr>
      <w:r>
        <w:t>Изменены предельные процентные ставки по ряду льготных кредитов для субъектов МСП. В частности, ставки по </w:t>
      </w:r>
      <w:hyperlink r:id="rId12" w:anchor="dst8" w:history="1">
        <w:r>
          <w:rPr>
            <w:rStyle w:val="a5"/>
          </w:rPr>
          <w:t>кредитным договорам (соглашениям)</w:t>
        </w:r>
      </w:hyperlink>
      <w:r>
        <w:t> на развитие предпринимательской деятельности для них </w:t>
      </w:r>
      <w:hyperlink r:id="rId13" w:anchor="dst13" w:history="1">
        <w:r>
          <w:rPr>
            <w:rStyle w:val="a5"/>
          </w:rPr>
          <w:t>не могут превышать</w:t>
        </w:r>
      </w:hyperlink>
      <w:r>
        <w:t>:</w:t>
      </w:r>
    </w:p>
    <w:p w:rsidR="0063600A" w:rsidRDefault="0063600A" w:rsidP="0063600A">
      <w:pPr>
        <w:pStyle w:val="a3"/>
      </w:pPr>
      <w:r>
        <w:t>- 15,75% годовых при значениях ключевой ставки Центрального банка РФ 13% годовых и более;</w:t>
      </w:r>
    </w:p>
    <w:p w:rsidR="0063600A" w:rsidRDefault="0063600A" w:rsidP="0063600A">
      <w:pPr>
        <w:pStyle w:val="a3"/>
      </w:pPr>
      <w:r>
        <w:t>- 13,25% годовых при значениях ключевой ставки Центрального банка РФ менее 13% годовых.</w:t>
      </w:r>
    </w:p>
    <w:p w:rsidR="0063600A" w:rsidRDefault="0063600A" w:rsidP="0063600A">
      <w:pPr>
        <w:pStyle w:val="a3"/>
      </w:pPr>
      <w:r>
        <w:t>Банк России и Правительство РФ </w:t>
      </w:r>
      <w:hyperlink r:id="rId14" w:anchor="dst100004" w:history="1">
        <w:r>
          <w:rPr>
            <w:rStyle w:val="a5"/>
          </w:rPr>
          <w:t>разработали</w:t>
        </w:r>
      </w:hyperlink>
      <w:r>
        <w:t> антикризисные программы льготного кредитования.</w:t>
      </w:r>
    </w:p>
    <w:p w:rsidR="0063600A" w:rsidRDefault="0063600A" w:rsidP="0063600A">
      <w:pPr>
        <w:pStyle w:val="a3"/>
      </w:pPr>
      <w:r>
        <w:t>В 2022 - 2024 гг. </w:t>
      </w:r>
      <w:hyperlink r:id="rId15" w:anchor="dst100107" w:history="1">
        <w:r>
          <w:rPr>
            <w:rStyle w:val="a5"/>
          </w:rPr>
          <w:t>высокотехнологичные</w:t>
        </w:r>
      </w:hyperlink>
      <w:r>
        <w:t>, инновационные субъекты МСП могут получать льготные </w:t>
      </w:r>
      <w:hyperlink r:id="rId16" w:anchor="dst100009" w:history="1">
        <w:r>
          <w:rPr>
            <w:rStyle w:val="a5"/>
          </w:rPr>
          <w:t>кредиты</w:t>
        </w:r>
      </w:hyperlink>
      <w:r>
        <w:t> в АО "МСП Банк".</w:t>
      </w:r>
    </w:p>
    <w:p w:rsidR="0063600A" w:rsidRDefault="0063600A" w:rsidP="0063600A">
      <w:pPr>
        <w:pStyle w:val="a3"/>
      </w:pPr>
      <w:r>
        <w:t>При безвозмездном получении работ (услуг, имущественных прав) организации </w:t>
      </w:r>
      <w:hyperlink r:id="rId17" w:anchor="dst100013" w:history="1">
        <w:r>
          <w:rPr>
            <w:rStyle w:val="a5"/>
          </w:rPr>
          <w:t>не начисляют</w:t>
        </w:r>
      </w:hyperlink>
      <w:r>
        <w:t> налог на прибыль на их стоимость, если в рамках полномочий по поддержке МСП их выполнил (оказал, передал) или </w:t>
      </w:r>
      <w:hyperlink r:id="rId18" w:anchor="dst100014" w:history="1">
        <w:r>
          <w:rPr>
            <w:rStyle w:val="a5"/>
          </w:rPr>
          <w:t>оплатил</w:t>
        </w:r>
      </w:hyperlink>
      <w:r>
        <w:t xml:space="preserve"> их приобретение у других </w:t>
      </w:r>
      <w:proofErr w:type="spellStart"/>
      <w:r>
        <w:t>юрлиц</w:t>
      </w:r>
      <w:proofErr w:type="spellEnd"/>
      <w:r>
        <w:t xml:space="preserve"> либо физлиц любой из следующих субъектов:</w:t>
      </w:r>
    </w:p>
    <w:p w:rsidR="0063600A" w:rsidRDefault="0063600A" w:rsidP="0063600A">
      <w:pPr>
        <w:pStyle w:val="a3"/>
      </w:pPr>
      <w:r>
        <w:t xml:space="preserve">- орган </w:t>
      </w:r>
      <w:proofErr w:type="spellStart"/>
      <w:r>
        <w:t>госвласти</w:t>
      </w:r>
      <w:proofErr w:type="spellEnd"/>
      <w:r>
        <w:t>;</w:t>
      </w:r>
    </w:p>
    <w:p w:rsidR="0063600A" w:rsidRDefault="0063600A" w:rsidP="0063600A">
      <w:pPr>
        <w:pStyle w:val="a3"/>
      </w:pPr>
      <w:r>
        <w:t>- орган местного самоуправления;</w:t>
      </w:r>
    </w:p>
    <w:p w:rsidR="0063600A" w:rsidRDefault="0063600A" w:rsidP="0063600A">
      <w:pPr>
        <w:pStyle w:val="a3"/>
      </w:pPr>
      <w:r>
        <w:t>- корпорация развития малого и среднего предпринимательства, ее дочернее общество;</w:t>
      </w:r>
    </w:p>
    <w:p w:rsidR="0063600A" w:rsidRDefault="0063600A" w:rsidP="0063600A">
      <w:pPr>
        <w:pStyle w:val="a3"/>
      </w:pPr>
      <w:r>
        <w:t>- организация, включенная в единый реестр организаций инфраструктуры поддержки по Федеральному закону от 24.07.2007 N 209-ФЗ.</w:t>
      </w:r>
    </w:p>
    <w:p w:rsidR="0063600A" w:rsidRDefault="0063600A" w:rsidP="0063600A">
      <w:pPr>
        <w:pStyle w:val="a3"/>
      </w:pPr>
      <w:r>
        <w:t>Указанное положение распространяется на правоотношения, возникшие </w:t>
      </w:r>
      <w:hyperlink r:id="rId19" w:anchor="dst100036" w:history="1">
        <w:r>
          <w:rPr>
            <w:rStyle w:val="a5"/>
          </w:rPr>
          <w:t>с 1 января 2019 г</w:t>
        </w:r>
      </w:hyperlink>
      <w:r>
        <w:t>.</w:t>
      </w:r>
    </w:p>
    <w:p w:rsidR="00C118B4" w:rsidRDefault="00C118B4"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91"/>
    <w:rsid w:val="003F0C91"/>
    <w:rsid w:val="0063600A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0A"/>
    <w:rPr>
      <w:b/>
      <w:bCs/>
    </w:rPr>
  </w:style>
  <w:style w:type="character" w:styleId="a5">
    <w:name w:val="Hyperlink"/>
    <w:basedOn w:val="a0"/>
    <w:uiPriority w:val="99"/>
    <w:semiHidden/>
    <w:unhideWhenUsed/>
    <w:rsid w:val="00636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0A"/>
    <w:rPr>
      <w:b/>
      <w:bCs/>
    </w:rPr>
  </w:style>
  <w:style w:type="character" w:styleId="a5">
    <w:name w:val="Hyperlink"/>
    <w:basedOn w:val="a0"/>
    <w:uiPriority w:val="99"/>
    <w:semiHidden/>
    <w:unhideWhenUsed/>
    <w:rsid w:val="00636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352/f97b6ca722c8d198ec3801b82048b400056aed47/" TargetMode="External"/><Relationship Id="rId13" Type="http://schemas.openxmlformats.org/officeDocument/2006/relationships/hyperlink" Target="https://www.consultant.ru/document/cons_doc_LAW_424648/f7f3d1e1e5380806b7f66ff9dacd3ef85b7afddd/" TargetMode="External"/><Relationship Id="rId18" Type="http://schemas.openxmlformats.org/officeDocument/2006/relationships/hyperlink" Target="https://www.consultant.ru/document/cons_doc_LAW_434561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34746/1d1f1bf998b759f06146e0abc46a58c503e98ae0/" TargetMode="External"/><Relationship Id="rId12" Type="http://schemas.openxmlformats.org/officeDocument/2006/relationships/hyperlink" Target="https://www.consultant.ru/document/cons_doc_LAW_424648/f7f3d1e1e5380806b7f66ff9dacd3ef85b7afddd/" TargetMode="External"/><Relationship Id="rId17" Type="http://schemas.openxmlformats.org/officeDocument/2006/relationships/hyperlink" Target="https://www.consultant.ru/document/cons_doc_LAW_434561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6699/846875cd7c03aad28ff02fd7246ea03771a387b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4738/6a73a7e61adc45fc3dd224c0e7194a1392c8b071/" TargetMode="External"/><Relationship Id="rId11" Type="http://schemas.openxmlformats.org/officeDocument/2006/relationships/hyperlink" Target="https://www.consultant.ru/document/cons_doc_LAW_414106/f6750e64c49e6066baf27f9bb0d0a155a280ea3a/" TargetMode="External"/><Relationship Id="rId5" Type="http://schemas.openxmlformats.org/officeDocument/2006/relationships/hyperlink" Target="https://www.consultant.ru/document/cons_doc_LAW_419697/999c1ce1c750cbce19cc9c3b5018e6cda837b4fb/" TargetMode="External"/><Relationship Id="rId15" Type="http://schemas.openxmlformats.org/officeDocument/2006/relationships/hyperlink" Target="https://www.consultant.ru/document/cons_doc_LAW_436699/846875cd7c03aad28ff02fd7246ea03771a387ba/" TargetMode="External"/><Relationship Id="rId10" Type="http://schemas.openxmlformats.org/officeDocument/2006/relationships/hyperlink" Target="https://www.consultant.ru/document/cons_doc_LAW_434746/1d1f1bf998b759f06146e0abc46a58c503e98ae0/" TargetMode="External"/><Relationship Id="rId19" Type="http://schemas.openxmlformats.org/officeDocument/2006/relationships/hyperlink" Target="https://www.consultant.ru/document/cons_doc_LAW_434561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4746/1d1f1bf998b759f06146e0abc46a58c503e98ae0/" TargetMode="External"/><Relationship Id="rId14" Type="http://schemas.openxmlformats.org/officeDocument/2006/relationships/hyperlink" Target="https://www.consultant.ru/document/cons_doc_LAW_4118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2023-03-30T06:45:00Z</dcterms:created>
  <dcterms:modified xsi:type="dcterms:W3CDTF">2023-03-30T06:45:00Z</dcterms:modified>
</cp:coreProperties>
</file>