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3" w:rsidRDefault="00A76463" w:rsidP="00A76463">
      <w:pPr>
        <w:rPr>
          <w:sz w:val="28"/>
          <w:szCs w:val="28"/>
        </w:rPr>
      </w:pPr>
    </w:p>
    <w:p w:rsidR="00A76463" w:rsidRDefault="00A76463" w:rsidP="00A7646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СОБРАНИЕ ДЕПУТАТОВ</w:t>
      </w:r>
    </w:p>
    <w:p w:rsidR="00A76463" w:rsidRDefault="00A76463" w:rsidP="00A7646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ВАБЛИНСКОГО СЕЛЬСОВЕТА </w:t>
      </w:r>
    </w:p>
    <w:p w:rsidR="00A76463" w:rsidRDefault="00A76463" w:rsidP="00A7646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КОНЫШЕВСКОГО РАЙОНА КУРСКОЙ ОБЛАСТИ</w:t>
      </w:r>
    </w:p>
    <w:p w:rsidR="00A76463" w:rsidRDefault="00A76463" w:rsidP="00A76463">
      <w:pPr>
        <w:rPr>
          <w:bCs/>
          <w:sz w:val="28"/>
          <w:szCs w:val="28"/>
        </w:rPr>
      </w:pPr>
    </w:p>
    <w:p w:rsidR="00A76463" w:rsidRDefault="00A76463" w:rsidP="00A76463">
      <w:pPr>
        <w:tabs>
          <w:tab w:val="left" w:pos="31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76463" w:rsidRDefault="00A76463" w:rsidP="00A76463">
      <w:pPr>
        <w:tabs>
          <w:tab w:val="left" w:pos="3120"/>
        </w:tabs>
        <w:rPr>
          <w:b/>
          <w:bCs/>
          <w:sz w:val="28"/>
          <w:szCs w:val="24"/>
        </w:rPr>
      </w:pPr>
    </w:p>
    <w:p w:rsidR="00A76463" w:rsidRDefault="00A76463" w:rsidP="00A76463">
      <w:pPr>
        <w:tabs>
          <w:tab w:val="left" w:pos="3120"/>
        </w:tabs>
        <w:rPr>
          <w:sz w:val="28"/>
          <w:szCs w:val="24"/>
        </w:rPr>
      </w:pPr>
      <w:r>
        <w:rPr>
          <w:sz w:val="28"/>
          <w:szCs w:val="24"/>
        </w:rPr>
        <w:t>от 06.03.2020  г                                   № 176</w:t>
      </w:r>
    </w:p>
    <w:p w:rsidR="00A76463" w:rsidRDefault="00A76463" w:rsidP="00A76463">
      <w:pPr>
        <w:tabs>
          <w:tab w:val="left" w:pos="3120"/>
        </w:tabs>
        <w:rPr>
          <w:sz w:val="28"/>
          <w:szCs w:val="24"/>
        </w:rPr>
      </w:pP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.В</w:t>
      </w:r>
      <w:proofErr w:type="gramEnd"/>
      <w:r>
        <w:rPr>
          <w:sz w:val="28"/>
          <w:szCs w:val="24"/>
        </w:rPr>
        <w:t>абля</w:t>
      </w:r>
      <w:proofErr w:type="spellEnd"/>
    </w:p>
    <w:p w:rsidR="00A76463" w:rsidRDefault="00A76463" w:rsidP="00A76463">
      <w:pPr>
        <w:spacing w:before="240" w:after="60"/>
        <w:outlineLvl w:val="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проекте решения Собрания депутатов</w:t>
      </w:r>
    </w:p>
    <w:p w:rsidR="00A76463" w:rsidRDefault="00A76463" w:rsidP="00A7646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«Об исполнении</w:t>
      </w:r>
    </w:p>
    <w:p w:rsidR="00A76463" w:rsidRDefault="00A76463" w:rsidP="00A764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A76463" w:rsidRDefault="00A76463" w:rsidP="00A7646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A76463" w:rsidRDefault="00A76463" w:rsidP="00A764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2019  год»</w:t>
      </w:r>
    </w:p>
    <w:p w:rsidR="00A76463" w:rsidRDefault="00A76463" w:rsidP="00A76463">
      <w:pPr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Собрание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</w:t>
      </w:r>
      <w:r>
        <w:rPr>
          <w:b/>
          <w:bCs/>
          <w:sz w:val="28"/>
          <w:szCs w:val="24"/>
        </w:rPr>
        <w:t>РЕШИЛО</w:t>
      </w:r>
      <w:r>
        <w:rPr>
          <w:sz w:val="28"/>
          <w:szCs w:val="24"/>
        </w:rPr>
        <w:t>: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1. Внести проект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на обсуждение граждан, проживающих на территории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(прилагается).</w:t>
      </w:r>
    </w:p>
    <w:p w:rsidR="00A76463" w:rsidRDefault="00A76463" w:rsidP="00A76463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        2. Обнародовать те</w:t>
      </w:r>
      <w:proofErr w:type="gramStart"/>
      <w:r>
        <w:rPr>
          <w:sz w:val="28"/>
          <w:szCs w:val="24"/>
        </w:rPr>
        <w:t>кст пр</w:t>
      </w:r>
      <w:proofErr w:type="gramEnd"/>
      <w:r>
        <w:rPr>
          <w:sz w:val="28"/>
          <w:szCs w:val="24"/>
        </w:rPr>
        <w:t xml:space="preserve">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на трех стендах, расположенных:</w:t>
      </w:r>
      <w:r>
        <w:rPr>
          <w:sz w:val="28"/>
          <w:szCs w:val="28"/>
        </w:rPr>
        <w:t xml:space="preserve">           </w:t>
      </w:r>
    </w:p>
    <w:p w:rsidR="00A76463" w:rsidRDefault="00A76463" w:rsidP="00A76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A76463" w:rsidRDefault="00A76463" w:rsidP="00A7646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A76463" w:rsidRDefault="00A76463" w:rsidP="00A76463">
      <w:pPr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и представления предложений по нему.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3. Обратиться к гражданам, проживающим на территории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с просьбой принять активное участие в обсуждении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сельсовета, внести предложения по совершенствованию данного проекта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4. Утвердить прилагаемый состав комиссии по обсуждению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сельсовета, приему и учету предложений по нему (прилагается) «Об исполнении  бюджета </w:t>
      </w:r>
      <w:proofErr w:type="spellStart"/>
      <w:r>
        <w:rPr>
          <w:sz w:val="28"/>
          <w:szCs w:val="24"/>
        </w:rPr>
        <w:lastRenderedPageBreak/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5. Поручить комиссии: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5.1. Обобщить и систематизировать предложения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год»;</w:t>
      </w:r>
    </w:p>
    <w:p w:rsidR="00A76463" w:rsidRDefault="00A76463" w:rsidP="00A76463">
      <w:pPr>
        <w:numPr>
          <w:ilvl w:val="1"/>
          <w:numId w:val="8"/>
        </w:numPr>
        <w:spacing w:after="20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Обобщенные и систематизированные материалы предоставить Собранию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сельсовета.</w:t>
      </w:r>
    </w:p>
    <w:p w:rsidR="00A76463" w:rsidRDefault="00A76463" w:rsidP="00A76463">
      <w:pPr>
        <w:ind w:left="1275"/>
        <w:jc w:val="both"/>
        <w:rPr>
          <w:sz w:val="28"/>
          <w:szCs w:val="24"/>
        </w:rPr>
      </w:pPr>
      <w:r>
        <w:rPr>
          <w:sz w:val="28"/>
          <w:szCs w:val="24"/>
        </w:rPr>
        <w:t>6. Утвердить прилагаемые:</w:t>
      </w:r>
    </w:p>
    <w:p w:rsidR="00A76463" w:rsidRDefault="00A76463" w:rsidP="00A76463">
      <w:pPr>
        <w:tabs>
          <w:tab w:val="left" w:pos="708"/>
        </w:tabs>
        <w:spacing w:after="12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16"/>
        </w:rPr>
        <w:t xml:space="preserve">«Об исполнении  бюджета </w:t>
      </w:r>
      <w:proofErr w:type="spellStart"/>
      <w:r>
        <w:rPr>
          <w:sz w:val="28"/>
          <w:szCs w:val="16"/>
        </w:rPr>
        <w:t>Ваблинского</w:t>
      </w:r>
      <w:proofErr w:type="spellEnd"/>
      <w:r>
        <w:rPr>
          <w:sz w:val="28"/>
          <w:szCs w:val="16"/>
        </w:rPr>
        <w:t xml:space="preserve"> сельсовета </w:t>
      </w:r>
      <w:proofErr w:type="spellStart"/>
      <w:r>
        <w:rPr>
          <w:sz w:val="28"/>
          <w:szCs w:val="16"/>
        </w:rPr>
        <w:t>Конышевского</w:t>
      </w:r>
      <w:proofErr w:type="spellEnd"/>
      <w:r>
        <w:rPr>
          <w:sz w:val="28"/>
          <w:szCs w:val="16"/>
        </w:rPr>
        <w:t xml:space="preserve"> района Курской области  за 2019 год»</w:t>
      </w:r>
      <w:r>
        <w:rPr>
          <w:sz w:val="28"/>
          <w:szCs w:val="28"/>
        </w:rPr>
        <w:t>;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Порядок учета предложений по 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                                                     7. Обнародовать настоящее решение на указанных в п.2 информационных стендах.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ind w:right="-56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8.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решения оставляю за собой.</w:t>
      </w:r>
    </w:p>
    <w:p w:rsidR="00A76463" w:rsidRDefault="00A76463" w:rsidP="00A76463">
      <w:pPr>
        <w:ind w:right="-564"/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3330"/>
        </w:tabs>
        <w:ind w:left="-513"/>
        <w:rPr>
          <w:sz w:val="28"/>
          <w:szCs w:val="24"/>
        </w:rPr>
      </w:pPr>
      <w:r>
        <w:rPr>
          <w:sz w:val="28"/>
          <w:szCs w:val="28"/>
        </w:rPr>
        <w:t>Председатель Собрания депутатов</w:t>
      </w:r>
    </w:p>
    <w:p w:rsidR="00A76463" w:rsidRDefault="00A76463" w:rsidP="00A76463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76463" w:rsidRDefault="00A76463" w:rsidP="00A76463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Роговская Г.Е.</w:t>
      </w:r>
    </w:p>
    <w:p w:rsidR="00A76463" w:rsidRDefault="00A76463" w:rsidP="00A76463">
      <w:pPr>
        <w:tabs>
          <w:tab w:val="left" w:pos="3330"/>
        </w:tabs>
        <w:rPr>
          <w:sz w:val="28"/>
          <w:szCs w:val="24"/>
        </w:rPr>
      </w:pPr>
    </w:p>
    <w:p w:rsidR="00A76463" w:rsidRDefault="00A76463" w:rsidP="00A76463">
      <w:pPr>
        <w:tabs>
          <w:tab w:val="left" w:pos="3330"/>
        </w:tabs>
        <w:ind w:left="-513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Default="00A76463" w:rsidP="00A76463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                                                                  </w:t>
      </w:r>
      <w:proofErr w:type="spellStart"/>
      <w:r>
        <w:rPr>
          <w:sz w:val="28"/>
          <w:szCs w:val="24"/>
        </w:rPr>
        <w:t>Маковнев</w:t>
      </w:r>
      <w:proofErr w:type="spellEnd"/>
      <w:r>
        <w:rPr>
          <w:sz w:val="28"/>
          <w:szCs w:val="24"/>
        </w:rPr>
        <w:t xml:space="preserve"> В.А.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jc w:val="both"/>
        <w:rPr>
          <w:sz w:val="28"/>
          <w:szCs w:val="24"/>
          <w:highlight w:val="yellow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11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СОБРАНИЕ ДЕПУТАТОВ ВАБЛИНСКОГО СЕЛЬСОВЕТА</w:t>
      </w:r>
    </w:p>
    <w:p w:rsidR="00A76463" w:rsidRDefault="00A76463" w:rsidP="00A76463">
      <w:pPr>
        <w:tabs>
          <w:tab w:val="left" w:pos="1110"/>
        </w:tabs>
        <w:spacing w:before="240" w:after="60"/>
        <w:outlineLvl w:val="7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КОНЫШЕВСКОГО РАЙОНА КУРСКОЙ ОБЛАСТИ</w:t>
      </w:r>
    </w:p>
    <w:p w:rsidR="00A76463" w:rsidRDefault="00A76463" w:rsidP="00A76463">
      <w:pPr>
        <w:rPr>
          <w:bCs/>
          <w:sz w:val="28"/>
          <w:szCs w:val="28"/>
        </w:rPr>
      </w:pPr>
    </w:p>
    <w:p w:rsidR="00A76463" w:rsidRDefault="00A76463" w:rsidP="00A76463">
      <w:pPr>
        <w:tabs>
          <w:tab w:val="left" w:pos="31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ПРОЕКТ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Я</w:t>
      </w:r>
    </w:p>
    <w:p w:rsidR="00A76463" w:rsidRDefault="00A76463" w:rsidP="00A76463">
      <w:pPr>
        <w:tabs>
          <w:tab w:val="left" w:pos="3120"/>
        </w:tabs>
        <w:rPr>
          <w:bCs/>
          <w:sz w:val="28"/>
          <w:szCs w:val="24"/>
        </w:rPr>
      </w:pPr>
    </w:p>
    <w:p w:rsidR="00A76463" w:rsidRDefault="00A76463" w:rsidP="00A76463">
      <w:pPr>
        <w:tabs>
          <w:tab w:val="left" w:pos="3120"/>
        </w:tabs>
        <w:rPr>
          <w:sz w:val="28"/>
          <w:szCs w:val="24"/>
        </w:rPr>
      </w:pPr>
      <w:r>
        <w:rPr>
          <w:sz w:val="28"/>
          <w:szCs w:val="24"/>
        </w:rPr>
        <w:t xml:space="preserve">от                                                       № </w:t>
      </w:r>
    </w:p>
    <w:p w:rsidR="00A76463" w:rsidRDefault="00A76463" w:rsidP="00A76463">
      <w:pPr>
        <w:tabs>
          <w:tab w:val="left" w:pos="3120"/>
        </w:tabs>
        <w:rPr>
          <w:sz w:val="28"/>
          <w:szCs w:val="24"/>
        </w:rPr>
      </w:pP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.В</w:t>
      </w:r>
      <w:proofErr w:type="gramEnd"/>
      <w:r>
        <w:rPr>
          <w:sz w:val="28"/>
          <w:szCs w:val="24"/>
        </w:rPr>
        <w:t>абля</w:t>
      </w:r>
      <w:proofErr w:type="spellEnd"/>
    </w:p>
    <w:p w:rsidR="00A76463" w:rsidRDefault="00A76463" w:rsidP="00A76463">
      <w:pPr>
        <w:rPr>
          <w:sz w:val="28"/>
          <w:szCs w:val="24"/>
        </w:rPr>
      </w:pPr>
    </w:p>
    <w:p w:rsidR="00A76463" w:rsidRDefault="00A76463" w:rsidP="00A76463">
      <w:pPr>
        <w:spacing w:before="240" w:after="60"/>
        <w:outlineLvl w:val="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проекте решения Собрания депутатов</w:t>
      </w:r>
    </w:p>
    <w:p w:rsidR="00A76463" w:rsidRDefault="00A76463" w:rsidP="00A7646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«Об исполнении</w:t>
      </w:r>
    </w:p>
    <w:p w:rsidR="00A76463" w:rsidRDefault="00A76463" w:rsidP="00A764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A76463" w:rsidRDefault="00A76463" w:rsidP="00A7646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A76463" w:rsidRDefault="00A76463" w:rsidP="00A764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2018  год»</w:t>
      </w:r>
    </w:p>
    <w:p w:rsidR="00A76463" w:rsidRDefault="00A76463" w:rsidP="00A76463">
      <w:pPr>
        <w:tabs>
          <w:tab w:val="left" w:pos="6390"/>
        </w:tabs>
        <w:jc w:val="both"/>
        <w:rPr>
          <w:b/>
          <w:sz w:val="28"/>
          <w:szCs w:val="24"/>
        </w:rPr>
      </w:pPr>
    </w:p>
    <w:p w:rsidR="00A76463" w:rsidRDefault="00A76463" w:rsidP="00A76463">
      <w:pPr>
        <w:jc w:val="center"/>
        <w:rPr>
          <w:b/>
          <w:sz w:val="28"/>
          <w:szCs w:val="28"/>
        </w:rPr>
      </w:pPr>
    </w:p>
    <w:p w:rsidR="002E4BDF" w:rsidRDefault="002E4BDF" w:rsidP="002E4BDF">
      <w:pPr>
        <w:jc w:val="center"/>
        <w:rPr>
          <w:sz w:val="28"/>
          <w:szCs w:val="28"/>
        </w:rPr>
      </w:pPr>
    </w:p>
    <w:p w:rsidR="002E4BDF" w:rsidRDefault="002E4BDF" w:rsidP="002E4BD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По доходам в сумме 7 004 711руб.96  коп. 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алоговые и неналоговые доходы – 5 585 998 руб.26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езвозмездные поступления – 1 418 713 руб. 70 коп.</w:t>
      </w:r>
    </w:p>
    <w:p w:rsidR="002E4BDF" w:rsidRDefault="002E4BDF" w:rsidP="002E4BD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1.2. По расходам в сумме  6 448 307 руб. 84 коп</w:t>
      </w:r>
      <w:r>
        <w:rPr>
          <w:sz w:val="28"/>
          <w:szCs w:val="28"/>
        </w:rPr>
        <w:t xml:space="preserve">. 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бщегосударственные вопросы –  2 491 204 руб. 68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ациональная  оборона – 77 818 руб.00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пожарная безопасность – 39 062 руб. 96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национальная экономика – 690 034 руб. 20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– 1 423 701руб. 21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культура, кинематография  –  1 183 655 руб. 72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социальная политика – 542 831 руб. 07 коп.</w:t>
      </w:r>
    </w:p>
    <w:p w:rsidR="002E4BDF" w:rsidRDefault="002E4BDF" w:rsidP="002E4BDF">
      <w:pPr>
        <w:numPr>
          <w:ilvl w:val="1"/>
          <w:numId w:val="15"/>
        </w:numPr>
        <w:rPr>
          <w:sz w:val="28"/>
          <w:szCs w:val="28"/>
        </w:rPr>
      </w:pPr>
    </w:p>
    <w:p w:rsidR="002E4BDF" w:rsidRDefault="002E4BDF" w:rsidP="002E4BDF"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составила  2 единицы</w:t>
      </w:r>
    </w:p>
    <w:p w:rsidR="002E4BDF" w:rsidRDefault="002E4BDF" w:rsidP="002E4BDF">
      <w:pPr>
        <w:rPr>
          <w:sz w:val="28"/>
          <w:szCs w:val="28"/>
        </w:rPr>
      </w:pPr>
      <w:r>
        <w:rPr>
          <w:sz w:val="28"/>
          <w:szCs w:val="28"/>
        </w:rPr>
        <w:t>Численность работников муниципальных учреждений составила 3 единицы</w:t>
      </w:r>
    </w:p>
    <w:p w:rsidR="002E4BDF" w:rsidRDefault="002E4BDF" w:rsidP="002E4BDF">
      <w:pPr>
        <w:rPr>
          <w:sz w:val="28"/>
          <w:szCs w:val="28"/>
        </w:rPr>
      </w:pPr>
      <w:r>
        <w:rPr>
          <w:sz w:val="28"/>
          <w:szCs w:val="28"/>
        </w:rPr>
        <w:t>Расходы на их денежное содержание –1 266 293 руб. 94 коп</w:t>
      </w:r>
    </w:p>
    <w:p w:rsidR="002E4BDF" w:rsidRDefault="002E4BDF" w:rsidP="002E4BDF">
      <w:pPr>
        <w:ind w:left="1428"/>
        <w:rPr>
          <w:sz w:val="28"/>
          <w:szCs w:val="28"/>
        </w:rPr>
      </w:pPr>
    </w:p>
    <w:p w:rsidR="002E4BDF" w:rsidRDefault="002E4BDF" w:rsidP="002E4BDF">
      <w:pPr>
        <w:rPr>
          <w:sz w:val="28"/>
          <w:szCs w:val="28"/>
        </w:rPr>
      </w:pPr>
    </w:p>
    <w:p w:rsidR="002E4BDF" w:rsidRDefault="002E4BDF" w:rsidP="002E4BDF">
      <w:pPr>
        <w:tabs>
          <w:tab w:val="left" w:pos="3330"/>
        </w:tabs>
        <w:ind w:left="-513"/>
        <w:rPr>
          <w:sz w:val="28"/>
          <w:szCs w:val="24"/>
        </w:rPr>
      </w:pPr>
      <w:r>
        <w:rPr>
          <w:sz w:val="28"/>
          <w:szCs w:val="28"/>
        </w:rPr>
        <w:t>Председатель Собрания депутатов</w:t>
      </w:r>
    </w:p>
    <w:p w:rsidR="002E4BDF" w:rsidRDefault="002E4BDF" w:rsidP="002E4BDF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E4BDF" w:rsidRDefault="002E4BDF" w:rsidP="002E4BDF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Роговская Г.Е.</w:t>
      </w:r>
    </w:p>
    <w:p w:rsidR="002E4BDF" w:rsidRDefault="002E4BDF" w:rsidP="002E4BDF">
      <w:pPr>
        <w:tabs>
          <w:tab w:val="left" w:pos="3330"/>
        </w:tabs>
        <w:rPr>
          <w:sz w:val="28"/>
          <w:szCs w:val="24"/>
        </w:rPr>
      </w:pPr>
    </w:p>
    <w:p w:rsidR="002E4BDF" w:rsidRDefault="002E4BDF" w:rsidP="002E4BDF">
      <w:pPr>
        <w:tabs>
          <w:tab w:val="left" w:pos="3330"/>
        </w:tabs>
        <w:ind w:left="-513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Pr="002E4BDF" w:rsidRDefault="002E4BDF" w:rsidP="002E4BDF">
      <w:pPr>
        <w:tabs>
          <w:tab w:val="left" w:pos="3330"/>
        </w:tabs>
        <w:ind w:left="-513"/>
        <w:rPr>
          <w:sz w:val="28"/>
          <w:szCs w:val="24"/>
        </w:rPr>
      </w:pP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                                                                  </w:t>
      </w:r>
      <w:proofErr w:type="spellStart"/>
      <w:r>
        <w:rPr>
          <w:sz w:val="28"/>
          <w:szCs w:val="24"/>
        </w:rPr>
        <w:t>Маковнев</w:t>
      </w:r>
      <w:proofErr w:type="spellEnd"/>
      <w:r>
        <w:rPr>
          <w:sz w:val="28"/>
          <w:szCs w:val="24"/>
        </w:rPr>
        <w:t xml:space="preserve"> В.А.</w:t>
      </w:r>
    </w:p>
    <w:p w:rsidR="00A76463" w:rsidRDefault="00A76463" w:rsidP="00A76463">
      <w:pPr>
        <w:jc w:val="both"/>
        <w:rPr>
          <w:sz w:val="28"/>
          <w:szCs w:val="28"/>
        </w:rPr>
      </w:pP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Приложение</w:t>
      </w:r>
    </w:p>
    <w:p w:rsidR="00A76463" w:rsidRDefault="00A76463" w:rsidP="00A76463">
      <w:pPr>
        <w:tabs>
          <w:tab w:val="left" w:pos="639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к решению Собрания депутатов</w:t>
      </w:r>
    </w:p>
    <w:p w:rsidR="00A76463" w:rsidRDefault="00A76463" w:rsidP="00A76463">
      <w:pPr>
        <w:tabs>
          <w:tab w:val="left" w:pos="559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от 06.03.2020 г   № 176</w:t>
      </w:r>
    </w:p>
    <w:p w:rsidR="00A76463" w:rsidRDefault="00A76463" w:rsidP="00A76463">
      <w:pPr>
        <w:tabs>
          <w:tab w:val="left" w:pos="559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559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СОСТАВ</w:t>
      </w:r>
    </w:p>
    <w:p w:rsidR="00A76463" w:rsidRDefault="00A76463" w:rsidP="00A76463">
      <w:pPr>
        <w:tabs>
          <w:tab w:val="left" w:pos="559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комиссии по обсуждению проекта решения Собрания депутатов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   приему и учету предложений по нему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Маковнев</w:t>
      </w:r>
      <w:proofErr w:type="spellEnd"/>
      <w:r>
        <w:rPr>
          <w:sz w:val="28"/>
          <w:szCs w:val="24"/>
        </w:rPr>
        <w:t xml:space="preserve"> В.А. – глава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Default="00A76463" w:rsidP="00A76463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Трунова</w:t>
      </w:r>
      <w:proofErr w:type="spellEnd"/>
      <w:r>
        <w:rPr>
          <w:sz w:val="28"/>
          <w:szCs w:val="24"/>
        </w:rPr>
        <w:t xml:space="preserve"> Алла Ивановна – начальник отдела </w:t>
      </w:r>
      <w:proofErr w:type="gramStart"/>
      <w:r>
        <w:rPr>
          <w:sz w:val="28"/>
          <w:szCs w:val="24"/>
        </w:rPr>
        <w:t>-г</w:t>
      </w:r>
      <w:proofErr w:type="gramEnd"/>
      <w:r>
        <w:rPr>
          <w:sz w:val="28"/>
          <w:szCs w:val="24"/>
        </w:rPr>
        <w:t xml:space="preserve">лавный бухгалтер администрации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Default="00A76463" w:rsidP="00A76463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Жукова Л.М. – депутат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</w:p>
    <w:p w:rsidR="002E4BDF" w:rsidRDefault="002E4BDF" w:rsidP="00A76463">
      <w:pPr>
        <w:jc w:val="both"/>
        <w:rPr>
          <w:sz w:val="28"/>
          <w:szCs w:val="24"/>
        </w:rPr>
      </w:pPr>
      <w:bookmarkStart w:id="0" w:name="_GoBack"/>
      <w:bookmarkEnd w:id="0"/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Утвержден</w:t>
      </w:r>
    </w:p>
    <w:p w:rsidR="00A76463" w:rsidRDefault="00A76463" w:rsidP="00A76463">
      <w:pPr>
        <w:tabs>
          <w:tab w:val="center" w:pos="4677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решением Собрания депутатов</w:t>
      </w:r>
    </w:p>
    <w:p w:rsidR="00A76463" w:rsidRDefault="00A76463" w:rsidP="00A76463">
      <w:pPr>
        <w:tabs>
          <w:tab w:val="left" w:pos="535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Default="00A76463" w:rsidP="00A76463">
      <w:pPr>
        <w:tabs>
          <w:tab w:val="left" w:pos="535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от 06.03.2020 г № 176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1860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Порядок участия граждан в обсуждении</w:t>
      </w:r>
    </w:p>
    <w:p w:rsidR="00A76463" w:rsidRDefault="00A76463" w:rsidP="00A76463">
      <w:pPr>
        <w:tabs>
          <w:tab w:val="left" w:pos="1860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проекта решения Собрания депутатов </w:t>
      </w:r>
      <w:proofErr w:type="spellStart"/>
      <w:r>
        <w:rPr>
          <w:b/>
          <w:bCs/>
          <w:sz w:val="28"/>
          <w:szCs w:val="24"/>
        </w:rPr>
        <w:t>Ваблинского</w:t>
      </w:r>
      <w:proofErr w:type="spellEnd"/>
      <w:r>
        <w:rPr>
          <w:b/>
          <w:bCs/>
          <w:sz w:val="28"/>
          <w:szCs w:val="24"/>
        </w:rPr>
        <w:t xml:space="preserve"> сельсовета</w:t>
      </w:r>
    </w:p>
    <w:p w:rsidR="00A76463" w:rsidRDefault="00A76463" w:rsidP="00A76463">
      <w:pPr>
        <w:jc w:val="center"/>
        <w:rPr>
          <w:b/>
          <w:sz w:val="28"/>
          <w:szCs w:val="24"/>
        </w:rPr>
      </w:pPr>
      <w:proofErr w:type="spellStart"/>
      <w:r>
        <w:rPr>
          <w:b/>
          <w:bCs/>
          <w:sz w:val="28"/>
          <w:szCs w:val="24"/>
        </w:rPr>
        <w:t>Конышевского</w:t>
      </w:r>
      <w:proofErr w:type="spellEnd"/>
      <w:r>
        <w:rPr>
          <w:b/>
          <w:bCs/>
          <w:sz w:val="28"/>
          <w:szCs w:val="24"/>
        </w:rPr>
        <w:t xml:space="preserve"> района </w:t>
      </w:r>
      <w:r>
        <w:rPr>
          <w:b/>
          <w:sz w:val="28"/>
          <w:szCs w:val="24"/>
        </w:rPr>
        <w:t xml:space="preserve">«Об исполнении  бюджета </w:t>
      </w:r>
      <w:proofErr w:type="spellStart"/>
      <w:r>
        <w:rPr>
          <w:b/>
          <w:sz w:val="28"/>
          <w:szCs w:val="24"/>
        </w:rPr>
        <w:t>Ваблинского</w:t>
      </w:r>
      <w:proofErr w:type="spellEnd"/>
      <w:r>
        <w:rPr>
          <w:b/>
          <w:sz w:val="28"/>
          <w:szCs w:val="24"/>
        </w:rPr>
        <w:t xml:space="preserve"> сельсовета </w:t>
      </w:r>
      <w:proofErr w:type="spellStart"/>
      <w:r>
        <w:rPr>
          <w:b/>
          <w:sz w:val="28"/>
          <w:szCs w:val="24"/>
        </w:rPr>
        <w:t>Конышевского</w:t>
      </w:r>
      <w:proofErr w:type="spellEnd"/>
      <w:r>
        <w:rPr>
          <w:b/>
          <w:sz w:val="28"/>
          <w:szCs w:val="24"/>
        </w:rPr>
        <w:t xml:space="preserve"> района Курской области  за 2019 год»</w:t>
      </w:r>
    </w:p>
    <w:p w:rsidR="00A76463" w:rsidRDefault="00A76463" w:rsidP="00A76463">
      <w:pPr>
        <w:jc w:val="both"/>
        <w:rPr>
          <w:b/>
          <w:bCs/>
          <w:sz w:val="28"/>
          <w:szCs w:val="24"/>
        </w:rPr>
      </w:pPr>
    </w:p>
    <w:p w:rsidR="00A76463" w:rsidRDefault="00A76463" w:rsidP="00A76463">
      <w:pPr>
        <w:jc w:val="both"/>
        <w:rPr>
          <w:b/>
          <w:bCs/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Обсуждение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начинается со дня его официального обнародования на информационных стендах, расположенных:</w:t>
      </w:r>
    </w:p>
    <w:p w:rsidR="00A76463" w:rsidRDefault="00A76463" w:rsidP="00A76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A76463" w:rsidRDefault="00A76463" w:rsidP="00A7646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A76463" w:rsidRDefault="00A76463" w:rsidP="00A76463">
      <w:pPr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</w:t>
      </w:r>
    </w:p>
    <w:p w:rsidR="00A76463" w:rsidRDefault="00A76463" w:rsidP="00A76463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которое</w:t>
      </w:r>
      <w:proofErr w:type="gramEnd"/>
      <w:r>
        <w:rPr>
          <w:sz w:val="28"/>
          <w:szCs w:val="24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год».  Период обсуждения составляет 20 дней со дня официального </w:t>
      </w:r>
      <w:proofErr w:type="gramStart"/>
      <w:r>
        <w:rPr>
          <w:sz w:val="28"/>
          <w:szCs w:val="24"/>
        </w:rPr>
        <w:t>обнародования проекта решения Собрания депутатов</w:t>
      </w:r>
      <w:proofErr w:type="gram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на информационных стендах.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</w:t>
      </w:r>
      <w:r>
        <w:rPr>
          <w:sz w:val="28"/>
          <w:szCs w:val="24"/>
        </w:rPr>
        <w:lastRenderedPageBreak/>
        <w:t>2019 год»,  приему и учету предложений по нему (далее комиссия), расположенную по адресу: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Курская область, </w:t>
      </w:r>
      <w:proofErr w:type="spellStart"/>
      <w:r>
        <w:rPr>
          <w:sz w:val="28"/>
          <w:szCs w:val="24"/>
        </w:rPr>
        <w:t>Конышевский</w:t>
      </w:r>
      <w:proofErr w:type="spellEnd"/>
      <w:r>
        <w:rPr>
          <w:sz w:val="28"/>
          <w:szCs w:val="24"/>
        </w:rPr>
        <w:t xml:space="preserve"> район, </w:t>
      </w: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.В</w:t>
      </w:r>
      <w:proofErr w:type="gramEnd"/>
      <w:r>
        <w:rPr>
          <w:sz w:val="28"/>
          <w:szCs w:val="24"/>
        </w:rPr>
        <w:t>абля</w:t>
      </w:r>
      <w:proofErr w:type="spellEnd"/>
      <w:r>
        <w:rPr>
          <w:sz w:val="28"/>
          <w:szCs w:val="24"/>
        </w:rPr>
        <w:t xml:space="preserve">, администрация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района.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Обсуждение гражданами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области, органах местного самоуправления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области.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Обсуждение призвано на основе широкой гласности, сопоставления и изучения различных мнений </w:t>
      </w:r>
      <w:proofErr w:type="gramStart"/>
      <w:r>
        <w:rPr>
          <w:sz w:val="28"/>
          <w:szCs w:val="24"/>
        </w:rPr>
        <w:t>способствовать выработке конструктивных предложений по проекту решения</w:t>
      </w:r>
      <w:proofErr w:type="gramEnd"/>
      <w:r>
        <w:rPr>
          <w:sz w:val="28"/>
          <w:szCs w:val="24"/>
        </w:rPr>
        <w:t xml:space="preserve">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  представлены в комиссию не позднее 18.00 часов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год»  последнего дня обсуждения.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2385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Утвержден 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решением Собрания депутатов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</w:t>
      </w:r>
    </w:p>
    <w:p w:rsidR="00A76463" w:rsidRDefault="00A76463" w:rsidP="00A7646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от 06.03.2020 г № 176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tabs>
          <w:tab w:val="left" w:pos="1305"/>
        </w:tabs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ab/>
        <w:t xml:space="preserve">    </w:t>
      </w:r>
      <w:r>
        <w:rPr>
          <w:b/>
          <w:bCs/>
          <w:sz w:val="28"/>
          <w:szCs w:val="24"/>
        </w:rPr>
        <w:t>Порядок учета предложений по проекту</w:t>
      </w:r>
    </w:p>
    <w:p w:rsidR="00A76463" w:rsidRDefault="00A76463" w:rsidP="00A76463">
      <w:pPr>
        <w:tabs>
          <w:tab w:val="left" w:pos="1305"/>
        </w:tabs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решения Собрания депутатов </w:t>
      </w:r>
      <w:proofErr w:type="spellStart"/>
      <w:r>
        <w:rPr>
          <w:b/>
          <w:bCs/>
          <w:sz w:val="28"/>
          <w:szCs w:val="24"/>
        </w:rPr>
        <w:t>Ваблинского</w:t>
      </w:r>
      <w:proofErr w:type="spellEnd"/>
      <w:r>
        <w:rPr>
          <w:b/>
          <w:bCs/>
          <w:sz w:val="28"/>
          <w:szCs w:val="24"/>
        </w:rPr>
        <w:t xml:space="preserve"> сельсовета</w:t>
      </w:r>
    </w:p>
    <w:p w:rsidR="00A76463" w:rsidRDefault="00A76463" w:rsidP="00A76463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«Об исполнении  бюджета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 за 2019 год»</w:t>
      </w:r>
    </w:p>
    <w:p w:rsidR="00A76463" w:rsidRDefault="00A76463" w:rsidP="00A76463">
      <w:pPr>
        <w:spacing w:before="240" w:after="60"/>
        <w:jc w:val="both"/>
        <w:outlineLvl w:val="7"/>
        <w:rPr>
          <w:b/>
          <w:i/>
          <w:iCs/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sz w:val="28"/>
          <w:szCs w:val="24"/>
        </w:rPr>
        <w:t>обнародованному</w:t>
      </w:r>
      <w:proofErr w:type="gramEnd"/>
      <w:r>
        <w:rPr>
          <w:sz w:val="28"/>
          <w:szCs w:val="24"/>
        </w:rPr>
        <w:t xml:space="preserve"> на информационных стендах, расположенных:</w:t>
      </w:r>
    </w:p>
    <w:p w:rsidR="00A76463" w:rsidRDefault="00A76463" w:rsidP="00A76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A76463" w:rsidRDefault="00A76463" w:rsidP="00A7646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A76463" w:rsidRDefault="00A76463" w:rsidP="00A76463">
      <w:pPr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проекту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«Об исполнении  бюджета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за 2019  год»    (далее проект решения об исполнении  бюджета.</w:t>
      </w:r>
      <w:proofErr w:type="gramEnd"/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Предложения по проекту решения об исполнении бюджета вносятся гражданами, проживающими на территории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района, как индивидуальных авторов, так и коллективные.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Предложения по проекту решения об исполнении  бюджета вносятся в комиссию по обсуждению проекта решения Собрания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района, приему и учету предложений по нему в письменном виде по адресу: Курская область, </w:t>
      </w:r>
      <w:proofErr w:type="spellStart"/>
      <w:r>
        <w:rPr>
          <w:sz w:val="28"/>
          <w:szCs w:val="24"/>
        </w:rPr>
        <w:t>Конышевский</w:t>
      </w:r>
      <w:proofErr w:type="spellEnd"/>
      <w:r>
        <w:rPr>
          <w:sz w:val="28"/>
          <w:szCs w:val="24"/>
        </w:rPr>
        <w:t xml:space="preserve"> район, </w:t>
      </w: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.В</w:t>
      </w:r>
      <w:proofErr w:type="gramEnd"/>
      <w:r>
        <w:rPr>
          <w:sz w:val="28"/>
          <w:szCs w:val="24"/>
        </w:rPr>
        <w:t>абля</w:t>
      </w:r>
      <w:proofErr w:type="spellEnd"/>
      <w:r>
        <w:rPr>
          <w:sz w:val="28"/>
          <w:szCs w:val="24"/>
        </w:rPr>
        <w:t xml:space="preserve">, администрация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и рассматриваются ею в соответствии с настоящим Порядком.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>4. Предложения по проекту решения об исполнении бюджета вносятся в комиссию в течение 20 дней со дня его обнародования на указанных в п.1 информационных стендах.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5. Поступившие предложения регистрируются комиссией в день поступления.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>6. Предложения по проекту решения об исполнении бюджета, внесенные с нарушением положений и сроков, установленных настоящим  Порядком, не рассматриваются.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в течение 5 дней со дня завершения приема предложений.</w:t>
      </w:r>
    </w:p>
    <w:p w:rsidR="00A76463" w:rsidRDefault="00A76463" w:rsidP="00A76463">
      <w:pPr>
        <w:ind w:right="-336" w:firstLine="708"/>
        <w:jc w:val="both"/>
        <w:rPr>
          <w:sz w:val="28"/>
          <w:szCs w:val="24"/>
        </w:rPr>
      </w:pPr>
      <w:r>
        <w:rPr>
          <w:sz w:val="28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p w:rsidR="00A76463" w:rsidRDefault="00A76463" w:rsidP="00A76463">
      <w:pPr>
        <w:jc w:val="both"/>
        <w:rPr>
          <w:sz w:val="28"/>
          <w:szCs w:val="24"/>
        </w:rPr>
      </w:pPr>
    </w:p>
    <w:sectPr w:rsidR="00A7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B35BF"/>
    <w:multiLevelType w:val="hybridMultilevel"/>
    <w:tmpl w:val="AE7C3E20"/>
    <w:lvl w:ilvl="0" w:tplc="1DD615C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03E6F"/>
    <w:multiLevelType w:val="hybridMultilevel"/>
    <w:tmpl w:val="D4F2F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E9C"/>
    <w:multiLevelType w:val="hybridMultilevel"/>
    <w:tmpl w:val="4DD0B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3281"/>
    <w:multiLevelType w:val="hybridMultilevel"/>
    <w:tmpl w:val="3EA80402"/>
    <w:lvl w:ilvl="0" w:tplc="B8C85AF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44DCA"/>
    <w:multiLevelType w:val="hybridMultilevel"/>
    <w:tmpl w:val="A8CAC58C"/>
    <w:lvl w:ilvl="0" w:tplc="464C40D2">
      <w:start w:val="5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36C47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AE2B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A96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BC38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D48F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85A43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34F3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C405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63"/>
    <w:rsid w:val="002E4BDF"/>
    <w:rsid w:val="003A5A25"/>
    <w:rsid w:val="00A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76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764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64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46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7646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A76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A7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A76463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7646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76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4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7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A76463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A76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A76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A7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A7646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A76463"/>
  </w:style>
  <w:style w:type="character" w:customStyle="1" w:styleId="1">
    <w:name w:val="Основной текст Знак1"/>
    <w:basedOn w:val="a0"/>
    <w:uiPriority w:val="99"/>
    <w:locked/>
    <w:rsid w:val="00A7646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A7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76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764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64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46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7646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A76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A7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A76463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7646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76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4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7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A76463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A76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A76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A76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A7646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A76463"/>
  </w:style>
  <w:style w:type="character" w:customStyle="1" w:styleId="1">
    <w:name w:val="Основной текст Знак1"/>
    <w:basedOn w:val="a0"/>
    <w:uiPriority w:val="99"/>
    <w:locked/>
    <w:rsid w:val="00A7646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A7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1766</Words>
  <Characters>10070</Characters>
  <Application>Microsoft Office Word</Application>
  <DocSecurity>0</DocSecurity>
  <Lines>83</Lines>
  <Paragraphs>23</Paragraphs>
  <ScaleCrop>false</ScaleCrop>
  <Company>*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2020-03-27T08:46:00Z</dcterms:created>
  <dcterms:modified xsi:type="dcterms:W3CDTF">2020-03-27T08:59:00Z</dcterms:modified>
</cp:coreProperties>
</file>