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AA" w:rsidRDefault="00E660AA" w:rsidP="00E66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ВАБЛИНСКОГО СЕЛЬСОВЕТА КОНЫШЕВСКОГО РАЙОНА КУРСКОЙ ОБЛАСТИ</w:t>
      </w:r>
    </w:p>
    <w:p w:rsidR="00E660AA" w:rsidRDefault="00E660AA" w:rsidP="00E660AA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60AA" w:rsidRDefault="00E660AA" w:rsidP="00E660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08.04.2020 года                      № 7-па 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60AA" w:rsidRDefault="00E660AA" w:rsidP="00E660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разработке проекта внесения изменений в Генеральный план муниципального образования  «</w:t>
      </w:r>
      <w:proofErr w:type="spellStart"/>
      <w:r>
        <w:rPr>
          <w:rFonts w:ascii="Times New Roman" w:hAnsi="Times New Roman"/>
          <w:b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Законом Курской области от 31.10.2006г. №76-ЗКО «О градостроительной деятельности в Курской области», в связи с осуществлением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полномочий в сфере градостроительной деятельности на основании соглашения от 16.03.2020 № 42 о передаче части полномочий по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решению вопросов местного значения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Конышевский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Курской области органу местного самоуправления поселения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Ваблиинского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ПОСТАНОВЛЯЕТ: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1.Приступить к разработке проекта внесения изменений в Генеральный план муниципального образования « 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2.Утвердить: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2.1.Состав комиссии по разработке проекта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согласно приложению №1 к настоящему постановлению.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2.2.Порядок деятельности комиссии по доработке проекта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проекта внесения изменений в Правила землепользования и застройки муниципального </w:t>
      </w:r>
      <w:r>
        <w:rPr>
          <w:rFonts w:ascii="Times New Roman" w:hAnsi="Times New Roman"/>
          <w:sz w:val="28"/>
          <w:szCs w:val="28"/>
        </w:rPr>
        <w:lastRenderedPageBreak/>
        <w:t>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согласно приложению №2 к настоящему постановлению.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3.Поручить Комиссии по разработке проекта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обеспечить: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-прием предложений заинтересованных лиц;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-доработку проекта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области;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-организацию проведения и проведение общественных обсуждений по проектам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в соответствии с требованиями Градостроительного кодекса Российской Федерации,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района Курской области, утвержденным решением Представительного Собрания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от 23 декабря 2019 №31;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подготовку и оформление протокола общественных обсуждений,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подготовку и опубликование заключения о результатах общественных обсуждений.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3.1.Утвердить порядок и сроки проведения работ по разработке проектов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согласно приложению №3 к настоящему постановлению.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3.2.Последовательность градостроительного зонирования определяется Правилами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3.3.Предложения заинтересованных лиц по проектам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направляются в комиссию по разработке проекта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района Курской области, проекта внесения изменений в Правила землепользования и застройки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в период проведения общественных обсуждений в порядке, сроки и форме, определенных оповещением о начале общественных обсуждений по указанным проектам.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4.Опубликовать настоящее постановление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в разделе «Градостроительное зонирование».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6.Постановление вступает в силу со дня его опубликования.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В.А.Маковнев</w:t>
      </w:r>
      <w:proofErr w:type="spellEnd"/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60AA" w:rsidRDefault="00E660AA" w:rsidP="00E660AA">
      <w:pPr>
        <w:ind w:left="4986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E660AA" w:rsidRDefault="00E660AA" w:rsidP="00E660AA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660AA" w:rsidRDefault="00E660AA" w:rsidP="00E660AA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</w:p>
    <w:p w:rsidR="00E660AA" w:rsidRDefault="00E660AA" w:rsidP="00E660AA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E660AA" w:rsidRDefault="00E660AA" w:rsidP="00E660AA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E660AA" w:rsidRDefault="00E660AA" w:rsidP="00E660AA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08.04.2020 года  № 7-па</w:t>
      </w:r>
    </w:p>
    <w:p w:rsidR="00E660AA" w:rsidRDefault="00E660AA" w:rsidP="00E660AA">
      <w:pPr>
        <w:jc w:val="center"/>
        <w:rPr>
          <w:rFonts w:ascii="Times New Roman" w:hAnsi="Times New Roman"/>
          <w:sz w:val="28"/>
          <w:szCs w:val="28"/>
        </w:rPr>
      </w:pPr>
    </w:p>
    <w:p w:rsidR="00E660AA" w:rsidRDefault="00E660AA" w:rsidP="00E660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</w:t>
      </w:r>
    </w:p>
    <w:p w:rsidR="00E660AA" w:rsidRDefault="00E660AA" w:rsidP="00E660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разработке проекта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780" w:type="dxa"/>
        <w:tblInd w:w="-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370"/>
      </w:tblGrid>
      <w:tr w:rsidR="00E660AA" w:rsidTr="00E660AA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В.А.Маковнев</w:t>
            </w:r>
            <w:proofErr w:type="spellEnd"/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Курской области (председатель комиссии)</w:t>
            </w:r>
          </w:p>
        </w:tc>
      </w:tr>
      <w:tr w:rsidR="00E660AA" w:rsidTr="00E660AA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В.А.Елушенко</w:t>
            </w:r>
            <w:proofErr w:type="spellEnd"/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Курской области (секретарь комиссии)</w:t>
            </w:r>
          </w:p>
        </w:tc>
      </w:tr>
      <w:tr w:rsidR="00E660AA" w:rsidTr="00E660AA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Бабичев</w:t>
            </w:r>
            <w:proofErr w:type="spellEnd"/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E660AA" w:rsidTr="00E660AA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Н.А. Никулина</w:t>
            </w:r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E660AA" w:rsidTr="00E660AA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А.Н. Москвин</w:t>
            </w:r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отдела аграрной политики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E660AA" w:rsidTr="00E660AA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А.В. Малахова</w:t>
            </w:r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управления экономики, труда, земельных и имущественных отношений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E660AA" w:rsidTr="00E660AA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И.И. Копылов</w:t>
            </w:r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отдела земельных и имущественных отношений управления экономики, труда, земельных и имущественных отношений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E660AA" w:rsidTr="00E660AA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Жердецкий</w:t>
            </w:r>
            <w:proofErr w:type="spellEnd"/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отдела строительства, архитектуры и ЖКХ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E660AA" w:rsidTr="00E660AA">
        <w:tc>
          <w:tcPr>
            <w:tcW w:w="24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С.С. Шевченко</w:t>
            </w:r>
          </w:p>
        </w:tc>
        <w:tc>
          <w:tcPr>
            <w:tcW w:w="737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отдела по делам ГО и ЧС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</w:tbl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660AA" w:rsidRDefault="00E660AA" w:rsidP="00E660AA">
      <w:pPr>
        <w:ind w:left="4986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E660AA" w:rsidRDefault="00E660AA" w:rsidP="00E660AA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660AA" w:rsidRDefault="00E660AA" w:rsidP="00E660AA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</w:p>
    <w:p w:rsidR="00E660AA" w:rsidRDefault="00E660AA" w:rsidP="00E660AA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E660AA" w:rsidRDefault="00E660AA" w:rsidP="00E660AA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E660AA" w:rsidRDefault="00E660AA" w:rsidP="00E660AA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08.04.2020 года  № 7-па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60AA" w:rsidRDefault="00E660AA" w:rsidP="00E660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E660AA" w:rsidRDefault="00E660AA" w:rsidP="00E660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деятельности комиссии по разработке проекта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60AA" w:rsidRDefault="00E660AA" w:rsidP="00E660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создается в целях доработки проекта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комиссия).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комиссии утверждается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области. В состав комиссии входят специалисты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и специалисты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действующим законодательством РФ, законодательством Курской области, нормативными документами Представительного Собрания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нормативными документами Собрания депутатов,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60AA" w:rsidRDefault="00E660AA" w:rsidP="00E660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2.Функции, задачи и права Комиссии.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2.1.Функции Комиссии: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2.1.1.Организация разработки проекта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(далее – проекты)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2.1.2.Организационно-техническое сопровождение и контролирование процесса по внесению изменений в проекты.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2.1.3.Обеспечение Порядка внесения изменений в проекты.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2.1.4.Осуществления взаимодействия с исполнителем работ по подготовке проектов.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2.1.5.Рассмотрение иных вопросов, связанных с внесением изменений в проекты в соответствии с Градостроительным кодексом РФ.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2.1.6.Обеспечение приема предложений заинтересованных лиц.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2.1.7.Организация проведения и проведение общественных обсуждений по проектам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в соответствии с требованиями Градостроительного кодекса Российской Федерации,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утвержденным решением Представительного Собрания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от 23 декабря 2019 №31.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2.1.8.Подготовка и оформление протоколов общественных обсуждений.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2.1.9.Подготовка и опубликование заключения о результатах общественных обсуждений.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2.2.Задачи Комиссии: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2.2.1.Организация сбора данных </w:t>
      </w:r>
      <w:proofErr w:type="spellStart"/>
      <w:r>
        <w:rPr>
          <w:rFonts w:ascii="Times New Roman" w:hAnsi="Times New Roman"/>
          <w:sz w:val="28"/>
          <w:szCs w:val="28"/>
        </w:rPr>
        <w:t>дл</w:t>
      </w:r>
      <w:proofErr w:type="spellEnd"/>
      <w:r>
        <w:rPr>
          <w:rFonts w:ascii="Times New Roman" w:hAnsi="Times New Roman"/>
          <w:sz w:val="28"/>
          <w:szCs w:val="28"/>
        </w:rPr>
        <w:t>  доработки внесения изменений в проекты.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2.2.2.Рассмотрение предложений и замечаний заинтересованных лиц по внесению изменений в проекты.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2.2.3.Соблюдение требований законодательства в сфере градостроительной деятельности.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Права Комиссии: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2.3.1.Привлекать для участия в работе Комиссии в качестве консультантов специалистов органов местного самоуправления и территориальных органов государственной власти.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2.3.2.Создавать при необходимости рабочие группы из числа членов Комиссии с целью реализации её полномочий.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2.3.3.Запрашивать в установленном Порядке у органов государственной власти, органов местного самоуправления информацию, заинтересованных лиц документацию и материалы в соответствии с её компетенцией.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2.3.4.Запрашивать и получать от руководителей органов, структурных подразделений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руководителей федеральных органов исполнительной власти муниципальных учреждений и предприятий информацию и материалы, необходимые для реализации полномочий Комиссии.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2.3.5.Приглашать на заседания Комиссии представителей структурных подразделений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руководителей федеральных органов исполнительной власти, </w:t>
      </w:r>
      <w:r>
        <w:rPr>
          <w:rFonts w:ascii="Times New Roman" w:hAnsi="Times New Roman"/>
          <w:sz w:val="28"/>
          <w:szCs w:val="28"/>
        </w:rPr>
        <w:lastRenderedPageBreak/>
        <w:t>муниципальных органов, представителей заинтересованных лиц, исполнителей работ по подготовке внесения изменений в проекты в пределах своих полномочий.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2.3.6.Принимать либо отклонять поступившие от заинтересованных лиц предложения, рекомендации, замечания по вопросам внесения изменений в проекты.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60AA" w:rsidRDefault="00E660AA" w:rsidP="00E660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3.Порядок работы Комиссии.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3.1.Комиссия осуществляет свою деятельность в форме заседаний путем личного участия членов Комиссии.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3.2.Заседания Комиссии: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3.2.1.Заседание Комиссии является правомочным при участии в ней не менее двух третей от установленного числа её членов.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3.2.2.Заседания Комиссии проводятся по мере необходимости. Периодичность заседаний определяется председателем Комиссии исходя из требований по соблюдению сроков выполнения и согласования проекта внесения изменений в проекты.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3.2.3.Заседания Комиссии ведет её председатель или секретарь Комиссии в случае отсутствия председателя.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3.2.4.Подготовку заседаний Комиссии обеспечивает секретарь Комиссии.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3.2.5.Комиссия принимает решения по рассматриваемым вопросам путем открытого голосования большинством голосов её членов, присутствующих на заседании.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равенства голосов при принятии решения голос председателя Комиссии является решающим.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3.2.6.На заседании Комиссии ведется протокол, в котором фиксируются внесенные на рассмотрение Комиссии вопросы, а также принятые по ним решения. Протокол подписывается </w:t>
      </w:r>
      <w:proofErr w:type="gramStart"/>
      <w:r>
        <w:rPr>
          <w:rFonts w:ascii="Times New Roman" w:hAnsi="Times New Roman"/>
          <w:sz w:val="28"/>
          <w:szCs w:val="28"/>
        </w:rPr>
        <w:t>всеми членами Комиссии, участвовавшими в заседании и утверждается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председателем Комиссии.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3.2.7.Протоколы общественных обсуждений оформляются в соответствии с требованиями статьи 5.1. Градостроительного кодекса РФ и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утвержденным решением Представительного Собрания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от 23 декабря 2019 №31.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60AA" w:rsidRDefault="00E660AA" w:rsidP="00E660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4.Организация и обеспечение деятельности Комиссии.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4.1.Руководство деятельностью комиссии осуществляет председатель комиссии, а в его отсутствие - секретарь Комиссии.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4.2.Председатель Комиссии: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4.2.1.Возглавляет и координирует работу Комиссии.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4.2.2.Ведет заседания Комиссии и утверждает протоколы заседания Комиссии.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4.2.3.Обобщает внесенные замечания, предложения с целью внесения их в протокол.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4.2.4.Снимает с обсуждения вопросы, не касающиеся повестки дня.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4.2.5.Дает поручения членам Комиссии для подготовки документов, материалов, выполнения отдельных заданий, связанных с деятельностью Комиссии.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4.2.6.Назначает время и дату проведения очередных заседаний Комиссии.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4.3.Члены Комиссии: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4.3.1.Участвуют в обсуждении рассматриваемых вопросов на заседании Комиссии и голосовании.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4.3.2.Высказывают замечания, предложения и дополнения, касающиеся основных положений по внесению изменений в проекты в письменном или устном виде.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4.3.3.Высказывают особое мнение с обязательным внесением его в протокол заседания.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4.3.4.Своевременно выполняют поручения председательствующего.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4.3.5.Подписывают протоколы заседания Комиссии.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4.4.Секретарь комиссии: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4.4.1.Является ответственным лицом за ведение делопроизводства.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4.4.2.Осуществляет подготовку материалов для заседаний Комиссии.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4.4.3.За два дня до заседания Комиссии представляет всем её членам перечень рассматриваемых вопросов с приложением необходимых материалов.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4.4.4.Осуществляет прием предложений заинтересованных лиц.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4.4.5.Ведет протокол заседания Комиссии, оформляет протоколы общественных обсуждений, заключение о результатах общественных обсуждений.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4.4.6.Представляет Протокол заседания комиссии для подписания членам Комиссии и утверждения председателю Комиссии в течение трех дней после проведенного заседания.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4.4.7.Извещает всех членов Комиссии о дате заседания Комиссии не менее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2 дня до начала заседания.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60AA" w:rsidRDefault="00E660AA" w:rsidP="00E660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5.Прекращение деятельности комиссии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Комиссия прекращает свою деятельность после принятия Собранием депутатов </w:t>
      </w:r>
      <w:proofErr w:type="spellStart"/>
      <w:r>
        <w:rPr>
          <w:rFonts w:ascii="Times New Roman" w:hAnsi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решений об утверждении нормативного правового акта «О внесении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и «О внесении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области».</w:t>
      </w:r>
      <w:proofErr w:type="gramEnd"/>
    </w:p>
    <w:p w:rsidR="00E660AA" w:rsidRDefault="00E660AA" w:rsidP="00E660AA">
      <w:pPr>
        <w:ind w:left="4986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E660AA" w:rsidRDefault="00E660AA" w:rsidP="00E660AA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660AA" w:rsidRDefault="00E660AA" w:rsidP="00E660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</w:p>
    <w:p w:rsidR="00E660AA" w:rsidRDefault="00E660AA" w:rsidP="00E660AA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E660AA" w:rsidRDefault="00E660AA" w:rsidP="00E660AA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E660AA" w:rsidRDefault="00E660AA" w:rsidP="00E660AA">
      <w:pPr>
        <w:ind w:left="4278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08.04.2020 года  №7-па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60AA" w:rsidRDefault="00E660AA" w:rsidP="00E660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 проведения работ по доработке проекта о внесении изменений в Генеральный план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проекта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E660AA" w:rsidRDefault="00E660AA" w:rsidP="00E660A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411" w:type="dxa"/>
        <w:tblInd w:w="-6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406"/>
        <w:gridCol w:w="2821"/>
        <w:gridCol w:w="2475"/>
      </w:tblGrid>
      <w:tr w:rsidR="00E660AA" w:rsidTr="00E660AA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Виды работ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E660AA" w:rsidTr="00E660AA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Опубликование сообщения о принятии решения о разработке проектов внесения изменений в Генеральный план и ПЗЗ 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Не позднее, чем по истечении 10 дней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 даты принятия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решения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Секретарь комиссии</w:t>
            </w:r>
          </w:p>
        </w:tc>
      </w:tr>
      <w:tr w:rsidR="00E660AA" w:rsidTr="00E660AA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Передача разработанных проектов по внесению изменений в Генеральный план и ПЗЗ в комиссию для проверки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15.07.2020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Исполнитель по заключенному муниципальному контракту</w:t>
            </w:r>
          </w:p>
        </w:tc>
      </w:tr>
      <w:tr w:rsidR="00E660AA" w:rsidTr="00E660AA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Проверка проектов по внесению изменений в Генеральный план и ПЗЗ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05.08.2020 года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Комиссия по разработке</w:t>
            </w:r>
          </w:p>
        </w:tc>
      </w:tr>
      <w:tr w:rsidR="00E660AA" w:rsidTr="00E660AA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Направление проектов по внесению изменений в Генеральный план и ПЗЗ Главе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После проверки проекта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Комиссия по разработке</w:t>
            </w:r>
          </w:p>
        </w:tc>
      </w:tr>
      <w:tr w:rsidR="00E660AA" w:rsidTr="00E660AA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Принятие решения о проведении общественных обсуждений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 позднее, чем через 10 дней со дня получения проекта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E660AA" w:rsidTr="00E660AA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общественных обсуждений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 менее 1 месяца и не более 3-х месяцев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Комиссия по разработке</w:t>
            </w:r>
          </w:p>
        </w:tc>
      </w:tr>
      <w:tr w:rsidR="00E660AA" w:rsidTr="00E660AA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Опубликование в средствах массовой информации и размещение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заключения о результатах общественных обсуждений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порядке, установленном для официального опубликования МПА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Комиссия по разработке, 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E660AA" w:rsidTr="00E660AA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Внесение изменений в проект по внесению изменений в Генеральный план и ПЗЗ (в случае если поступили аргументированные предложения и замечания)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10 дней со дня проведения общественных обсуждений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Исполнитель по заключенному муниципальному контракту</w:t>
            </w:r>
          </w:p>
        </w:tc>
      </w:tr>
      <w:tr w:rsidR="00E660AA" w:rsidTr="00E660AA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Представление проекта Главе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После проведения общественных обсуждений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Комиссия по разработке</w:t>
            </w:r>
          </w:p>
        </w:tc>
      </w:tr>
      <w:tr w:rsidR="00E660AA" w:rsidTr="00E660AA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Принятие Главой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решения о направлении проектов Собранию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или об отклонении проекта и о направлении его на доработку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10 дней после представления проекта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E660AA" w:rsidTr="00E660AA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Принятие Собранием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Решения об утверждении или отклонении и направлении на доработку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соответствии с регламентом Собрания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Собрание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E660AA" w:rsidTr="00E660AA"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40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Опубликование в средствах массовой информации и размещение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Курской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области, в Федеральной государственной информационной системе территориального планирования</w:t>
            </w:r>
          </w:p>
        </w:tc>
        <w:tc>
          <w:tcPr>
            <w:tcW w:w="282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После принятия решения об утверждении в порядке, установленном Уставом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24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0AA" w:rsidRDefault="00E660AA">
            <w:pPr>
              <w:spacing w:line="276" w:lineRule="auto"/>
              <w:ind w:left="112" w:right="11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Секретарь комиссии по разработке</w:t>
            </w:r>
          </w:p>
        </w:tc>
      </w:tr>
    </w:tbl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60AA" w:rsidRDefault="00E660AA" w:rsidP="00E660AA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60AA" w:rsidRDefault="00E660AA" w:rsidP="00E660AA">
      <w:pPr>
        <w:rPr>
          <w:rFonts w:ascii="Times New Roman" w:hAnsi="Times New Roman" w:cs="Times New Roman"/>
          <w:sz w:val="28"/>
          <w:szCs w:val="28"/>
        </w:rPr>
      </w:pPr>
    </w:p>
    <w:p w:rsidR="00AB3143" w:rsidRDefault="00AB3143">
      <w:bookmarkStart w:id="0" w:name="_GoBack"/>
      <w:bookmarkEnd w:id="0"/>
    </w:p>
    <w:sectPr w:rsidR="00AB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AA"/>
    <w:rsid w:val="00AB3143"/>
    <w:rsid w:val="00E6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AA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AA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2837</Words>
  <Characters>16171</Characters>
  <Application>Microsoft Office Word</Application>
  <DocSecurity>0</DocSecurity>
  <Lines>134</Lines>
  <Paragraphs>37</Paragraphs>
  <ScaleCrop>false</ScaleCrop>
  <Company>*</Company>
  <LinksUpToDate>false</LinksUpToDate>
  <CharactersWithSpaces>18971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2020-04-27T06:53:00Z</dcterms:created>
  <dcterms:modified xsi:type="dcterms:W3CDTF">2020-04-27T06:54:00Z</dcterms:modified>
</cp:coreProperties>
</file>