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8D" w:rsidRDefault="00143A8D" w:rsidP="00143A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ВАБЛИНСКОГО СЕЛЬСОВЕТА</w:t>
      </w:r>
    </w:p>
    <w:p w:rsidR="00143A8D" w:rsidRDefault="00143A8D" w:rsidP="00143A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</w:p>
    <w:p w:rsidR="00143A8D" w:rsidRDefault="00143A8D" w:rsidP="00143A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3A8D" w:rsidRDefault="00143A8D" w:rsidP="00143A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от 06.12.2017 г.                                 № 58-па </w:t>
      </w:r>
    </w:p>
    <w:p w:rsidR="00143A8D" w:rsidRDefault="00143A8D" w:rsidP="00143A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43A8D" w:rsidRDefault="00143A8D" w:rsidP="00143A8D">
      <w:pPr>
        <w:pStyle w:val="a3"/>
        <w:tabs>
          <w:tab w:val="left" w:pos="5670"/>
        </w:tabs>
        <w:spacing w:before="0" w:beforeAutospacing="0" w:after="0" w:afterAutospacing="0"/>
        <w:ind w:right="36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информирования о муниципальном правовом </w:t>
      </w:r>
      <w:proofErr w:type="gramStart"/>
      <w:r>
        <w:rPr>
          <w:b/>
          <w:bCs/>
          <w:sz w:val="28"/>
          <w:szCs w:val="28"/>
        </w:rPr>
        <w:t>акте</w:t>
      </w:r>
      <w:proofErr w:type="gramEnd"/>
      <w:r>
        <w:rPr>
          <w:b/>
          <w:bCs/>
          <w:sz w:val="28"/>
          <w:szCs w:val="28"/>
        </w:rPr>
        <w:t xml:space="preserve"> 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расположенных на территории </w:t>
      </w:r>
      <w:proofErr w:type="spellStart"/>
      <w:r>
        <w:rPr>
          <w:b/>
          <w:bCs/>
          <w:sz w:val="28"/>
          <w:szCs w:val="28"/>
        </w:rPr>
        <w:t>Ваблинского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b/>
          <w:bCs/>
          <w:sz w:val="28"/>
          <w:szCs w:val="28"/>
        </w:rPr>
        <w:t>пуаре</w:t>
      </w:r>
      <w:proofErr w:type="spellEnd"/>
      <w:r>
        <w:rPr>
          <w:b/>
          <w:bCs/>
          <w:sz w:val="28"/>
          <w:szCs w:val="28"/>
        </w:rPr>
        <w:t xml:space="preserve">, медовухи, а также организаций, </w:t>
      </w:r>
      <w:proofErr w:type="gramStart"/>
      <w:r>
        <w:rPr>
          <w:b/>
          <w:bCs/>
          <w:sz w:val="28"/>
          <w:szCs w:val="28"/>
        </w:rPr>
        <w:t xml:space="preserve">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b/>
          <w:bCs/>
          <w:sz w:val="28"/>
          <w:szCs w:val="28"/>
        </w:rPr>
        <w:t>пуаре</w:t>
      </w:r>
      <w:proofErr w:type="spellEnd"/>
      <w:r>
        <w:rPr>
          <w:b/>
          <w:bCs/>
          <w:sz w:val="28"/>
          <w:szCs w:val="28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  <w:r>
        <w:rPr>
          <w:sz w:val="28"/>
          <w:szCs w:val="28"/>
        </w:rPr>
        <w:t xml:space="preserve"> </w:t>
      </w:r>
      <w:proofErr w:type="gramEnd"/>
    </w:p>
    <w:p w:rsidR="00143A8D" w:rsidRDefault="00143A8D" w:rsidP="00143A8D">
      <w:pPr>
        <w:pStyle w:val="a3"/>
        <w:spacing w:before="0" w:beforeAutospacing="0" w:after="0" w:afterAutospacing="0"/>
        <w:ind w:right="4252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8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последующими изменениями),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информирования о муниципальном правовом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расположенных на территории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согласно приложению к настоящему постановлению.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«06» декабря 2017 г. № 58-па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информирования о муниципальном правовом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, медовухи, а также организаций, осуществляющих </w:t>
      </w:r>
      <w:proofErr w:type="gramStart"/>
      <w:r>
        <w:rPr>
          <w:sz w:val="28"/>
          <w:szCs w:val="28"/>
        </w:rPr>
        <w:t xml:space="preserve">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индивидуальными предпринимателями услуг общественного питания </w:t>
      </w:r>
      <w:proofErr w:type="gramEnd"/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абзацем 3 пункта 8 статьи 16 Федерального </w:t>
      </w:r>
      <w:hyperlink r:id="rId5" w:history="1">
        <w:proofErr w:type="gramStart"/>
        <w:r>
          <w:rPr>
            <w:rStyle w:val="a4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 xml:space="preserve">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закон) и определяет правила информирования органами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</w:t>
      </w:r>
      <w:proofErr w:type="gramStart"/>
      <w:r>
        <w:rPr>
          <w:sz w:val="28"/>
          <w:szCs w:val="28"/>
        </w:rPr>
        <w:t xml:space="preserve">в </w:t>
      </w:r>
      <w:hyperlink r:id="rId6" w:history="1">
        <w:r>
          <w:rPr>
            <w:rStyle w:val="a4"/>
            <w:sz w:val="28"/>
            <w:szCs w:val="28"/>
          </w:rPr>
          <w:t>подпункте 10 пункта 2 статьи 16</w:t>
        </w:r>
      </w:hyperlink>
      <w:r>
        <w:rPr>
          <w:sz w:val="28"/>
          <w:szCs w:val="28"/>
        </w:rPr>
        <w:t xml:space="preserve"> Федерального закона, расположенных на их территориях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</w:t>
      </w:r>
      <w:proofErr w:type="gramEnd"/>
      <w:r>
        <w:rPr>
          <w:sz w:val="28"/>
          <w:szCs w:val="28"/>
        </w:rPr>
        <w:t xml:space="preserve">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(далее – хозяйствующие субъекты, осуществляющие деятельность по розничной продаже алкогольной продукции).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об издании муниципального правового акта органом местного самоуправления об определении границ прилегающих территорий, указанных в </w:t>
      </w:r>
      <w:hyperlink r:id="rId7" w:history="1">
        <w:r>
          <w:rPr>
            <w:rStyle w:val="a4"/>
            <w:sz w:val="28"/>
            <w:szCs w:val="28"/>
          </w:rPr>
          <w:t>подпункте 10 пункта 2 статьи 16</w:t>
        </w:r>
      </w:hyperlink>
      <w:r>
        <w:rPr>
          <w:sz w:val="28"/>
          <w:szCs w:val="28"/>
        </w:rPr>
        <w:t xml:space="preserve"> Федерального закона, направляется органом местного самоуправления: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Комитет потребительского рынка, развития малого предпринимательства и лицензирования Курской области, уполномоченный на осуществление государственного контроля (надзора) в области оборота алкогольной и спиртосодержащей продукции (далее – уполномоченный орган) на его официальный адрес электронной почты;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хозяйствующим субъектам, осуществляющим деятельность по розничной продаже алкогольной продукции посредством размещения информации об издании муниципального правового акта в средствах массовой информации, на официальном сайте органа местного самоуправления в информационно-телекоммуникационной сети «Интернет», в помещениях, занимаемых органами местного самоуправления, другими способами, не противоречащими действующему законодательству, не позднее трех рабочих дней со дня официального опубликования муниципального правового акта. </w:t>
      </w:r>
      <w:proofErr w:type="gramEnd"/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получении информации об издании муниципального правового акта уполномоченный орган информирует хозяйствующие субъекты, осуществляющие розничную продажу алкогольной продукции, сведения о которых находятся в его распоряжении, об издании правового акта в течение 3 рабочих дней со дня получения информации.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об издании правового акта включает в себя: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правового акта;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дату и регистрационный номер правового акта;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источник официального опубликования правового акта;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дату вступления в силу правового акта.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Информирование осуществляется посредством размещения информации об издании правового акта на Официальном портале исполнительных органов государственной власти Курской области в информационно-телекоммуникационной сети «Интернет», в помещениях, занимаемых уполномоченным органом, другими способами, не противоречащими действующему законодательству. </w:t>
      </w:r>
    </w:p>
    <w:p w:rsidR="00143A8D" w:rsidRDefault="00143A8D" w:rsidP="00143A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Информирование хозяйствующих субъектов, осуществляющих розничную продажу алкогольной продукции на территории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сельсовета, о внесении изменений в правовой акт осуществляется в соответствии с настоящим Порядком. </w:t>
      </w:r>
    </w:p>
    <w:p w:rsidR="00143A8D" w:rsidRDefault="00143A8D" w:rsidP="00143A8D">
      <w:pPr>
        <w:jc w:val="both"/>
        <w:rPr>
          <w:sz w:val="28"/>
          <w:szCs w:val="28"/>
        </w:rPr>
      </w:pPr>
    </w:p>
    <w:p w:rsidR="00143A8D" w:rsidRDefault="00143A8D" w:rsidP="00143A8D">
      <w:pPr>
        <w:jc w:val="both"/>
      </w:pPr>
    </w:p>
    <w:p w:rsidR="00143A8D" w:rsidRDefault="00143A8D" w:rsidP="00143A8D">
      <w:pPr>
        <w:jc w:val="both"/>
      </w:pPr>
    </w:p>
    <w:p w:rsidR="00143A8D" w:rsidRDefault="00143A8D" w:rsidP="00143A8D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</w:pPr>
    </w:p>
    <w:p w:rsidR="00143A8D" w:rsidRDefault="00143A8D" w:rsidP="00143A8D">
      <w:pPr>
        <w:rPr>
          <w:sz w:val="28"/>
          <w:szCs w:val="28"/>
        </w:rPr>
      </w:pPr>
    </w:p>
    <w:p w:rsidR="00143A8D" w:rsidRPr="0092604C" w:rsidRDefault="00143A8D" w:rsidP="00143A8D">
      <w:pPr>
        <w:jc w:val="both"/>
        <w:rPr>
          <w:b/>
          <w:sz w:val="28"/>
          <w:szCs w:val="28"/>
        </w:rPr>
      </w:pPr>
    </w:p>
    <w:p w:rsidR="008D50CC" w:rsidRDefault="008D50CC">
      <w:bookmarkStart w:id="0" w:name="_GoBack"/>
      <w:bookmarkEnd w:id="0"/>
    </w:p>
    <w:sectPr w:rsidR="008D50CC" w:rsidSect="000B6C50">
      <w:pgSz w:w="11906" w:h="16838"/>
      <w:pgMar w:top="510" w:right="567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8D"/>
    <w:rsid w:val="00143A8D"/>
    <w:rsid w:val="008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143A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styleId="a4">
    <w:name w:val="Hyperlink"/>
    <w:uiPriority w:val="99"/>
    <w:semiHidden/>
    <w:unhideWhenUsed/>
    <w:rsid w:val="00143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143A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character" w:styleId="a4">
    <w:name w:val="Hyperlink"/>
    <w:uiPriority w:val="99"/>
    <w:semiHidden/>
    <w:unhideWhenUsed/>
    <w:rsid w:val="00143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7A0660CEFB978C618295E2DC3D9FF0AECCB9485D271BDA78AB06A39B2B864E5D1727D24D5BB3Ar8i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7A0660CEFB978C618295E2DC3D9FF0AECCB9485D271BDA78AB06A39B2B864E5D1727D24D5BB3Ar8iDH" TargetMode="External"/><Relationship Id="rId5" Type="http://schemas.openxmlformats.org/officeDocument/2006/relationships/hyperlink" Target="consultantplus://offline/ref=40C7A0660CEFB978C618295E2DC3D9FF0AECCB9485D271BDA78AB06A39B2B864E5D1727D24D5BB3Fr8i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6893</Characters>
  <Application>Microsoft Office Word</Application>
  <DocSecurity>0</DocSecurity>
  <Lines>57</Lines>
  <Paragraphs>16</Paragraphs>
  <ScaleCrop>false</ScaleCrop>
  <Company>*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2017-12-19T06:20:00Z</dcterms:created>
  <dcterms:modified xsi:type="dcterms:W3CDTF">2017-12-19T06:21:00Z</dcterms:modified>
</cp:coreProperties>
</file>